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A6E" w:rsidRDefault="00B92A92">
      <w:pPr>
        <w:spacing w:after="40"/>
      </w:pPr>
      <w:bookmarkStart w:id="0" w:name="_GoBack"/>
      <w:bookmarkEnd w:id="0"/>
      <w:r>
        <w:rPr>
          <w:b/>
          <w:color w:val="1B365D"/>
          <w:sz w:val="20"/>
        </w:rPr>
        <w:t>ROMÂNIA</w:t>
      </w:r>
      <w:r w:rsidR="0028133C">
        <w:rPr>
          <w:b/>
          <w:color w:val="1B365D"/>
          <w:sz w:val="20"/>
        </w:rPr>
        <w:t xml:space="preserve">                                                </w:t>
      </w:r>
      <w:r>
        <w:rPr>
          <w:b/>
          <w:color w:val="1B365D"/>
          <w:sz w:val="20"/>
        </w:rPr>
        <w:br/>
        <w:t>JUDEȚUL HUNEDOARA</w:t>
      </w:r>
      <w:r>
        <w:rPr>
          <w:b/>
          <w:color w:val="1B365D"/>
          <w:sz w:val="20"/>
        </w:rPr>
        <w:br/>
        <w:t>PRIMĂRIA COMUNEI LUNCA CERNII DE JOS</w:t>
      </w:r>
      <w:r>
        <w:rPr>
          <w:b/>
          <w:color w:val="1B365D"/>
          <w:sz w:val="20"/>
        </w:rPr>
        <w:br/>
      </w:r>
    </w:p>
    <w:p w:rsidR="0028133C" w:rsidRPr="0028133C" w:rsidRDefault="0028133C" w:rsidP="0028133C">
      <w:pPr>
        <w:pStyle w:val="Frspaiere"/>
        <w:jc w:val="right"/>
        <w:rPr>
          <w:b/>
        </w:rPr>
      </w:pPr>
      <w:r>
        <w:t xml:space="preserve"> </w:t>
      </w:r>
      <w:r w:rsidRPr="0028133C">
        <w:rPr>
          <w:b/>
        </w:rPr>
        <w:t xml:space="preserve">AVIZAT </w:t>
      </w:r>
    </w:p>
    <w:p w:rsidR="0028133C" w:rsidRDefault="0028133C" w:rsidP="0028133C">
      <w:pPr>
        <w:pStyle w:val="Frspaiere"/>
        <w:jc w:val="right"/>
      </w:pPr>
      <w:proofErr w:type="spellStart"/>
      <w:r>
        <w:t>Lupulescu</w:t>
      </w:r>
      <w:proofErr w:type="spellEnd"/>
      <w:r>
        <w:t xml:space="preserve"> </w:t>
      </w:r>
      <w:proofErr w:type="spellStart"/>
      <w:r>
        <w:t>Luminița</w:t>
      </w:r>
      <w:proofErr w:type="spellEnd"/>
      <w:r>
        <w:t xml:space="preserve"> - Valentina</w:t>
      </w:r>
      <w:r>
        <w:br/>
      </w:r>
      <w:proofErr w:type="spellStart"/>
      <w:r>
        <w:t>Primarul</w:t>
      </w:r>
      <w:proofErr w:type="spellEnd"/>
      <w:r>
        <w:t xml:space="preserve"> </w:t>
      </w:r>
      <w:proofErr w:type="spellStart"/>
      <w:r>
        <w:t>Comunei</w:t>
      </w:r>
      <w:proofErr w:type="spellEnd"/>
      <w:r>
        <w:t xml:space="preserve"> </w:t>
      </w:r>
      <w:proofErr w:type="spellStart"/>
      <w:r>
        <w:t>Lunca</w:t>
      </w:r>
      <w:proofErr w:type="spellEnd"/>
      <w:r>
        <w:t xml:space="preserve"> </w:t>
      </w:r>
      <w:proofErr w:type="spellStart"/>
      <w:r>
        <w:t>Cernii</w:t>
      </w:r>
      <w:proofErr w:type="spellEnd"/>
      <w:r>
        <w:t xml:space="preserve"> de Jos</w:t>
      </w:r>
    </w:p>
    <w:p w:rsidR="00C20A6E" w:rsidRDefault="00B92A92">
      <w:pPr>
        <w:spacing w:after="480"/>
      </w:pPr>
      <w:r>
        <w:br/>
      </w:r>
    </w:p>
    <w:p w:rsidR="00C20A6E" w:rsidRDefault="00B92A92">
      <w:pPr>
        <w:spacing w:after="120"/>
        <w:jc w:val="center"/>
      </w:pPr>
      <w:r>
        <w:rPr>
          <w:b/>
          <w:color w:val="1B365D"/>
          <w:sz w:val="32"/>
        </w:rPr>
        <w:t>RAPORT ANUAL</w:t>
      </w:r>
    </w:p>
    <w:p w:rsidR="00C20A6E" w:rsidRDefault="00B92A92">
      <w:pPr>
        <w:spacing w:after="480"/>
        <w:jc w:val="center"/>
      </w:pPr>
      <w:r>
        <w:rPr>
          <w:b/>
          <w:sz w:val="24"/>
        </w:rPr>
        <w:t>privind respectarea normelor de conduită de către funcționarii publici</w:t>
      </w:r>
      <w:r>
        <w:rPr>
          <w:b/>
          <w:sz w:val="24"/>
        </w:rPr>
        <w:br/>
        <w:t>și personalul contractual pe anul 2025</w:t>
      </w:r>
    </w:p>
    <w:p w:rsidR="00C20A6E" w:rsidRDefault="00B92A92">
      <w:pPr>
        <w:keepNext/>
        <w:spacing w:before="280" w:after="120"/>
      </w:pPr>
      <w:r>
        <w:rPr>
          <w:b/>
          <w:color w:val="1B365D"/>
          <w:sz w:val="24"/>
        </w:rPr>
        <w:t>I. CADRUL LEGAL ȘI METODOLOGIC</w:t>
      </w:r>
    </w:p>
    <w:p w:rsidR="00C20A6E" w:rsidRDefault="00B92A92">
      <w:pPr>
        <w:spacing w:after="120"/>
      </w:pPr>
      <w:r>
        <w:t>Prezentul raport este întocmit în conformitate cu dispozițiile obligatorii prevăzute de:</w:t>
      </w:r>
    </w:p>
    <w:p w:rsidR="00C20A6E" w:rsidRDefault="00B92A92">
      <w:pPr>
        <w:pStyle w:val="Listcumarcatori"/>
        <w:spacing w:after="80"/>
      </w:pPr>
      <w:r>
        <w:t>Art. 454 lit. e) din Ordonanța de urgență a Guvernului nr. 57/2019 privind Codul administrativ, cu modificările și completările ulterioare;</w:t>
      </w:r>
    </w:p>
    <w:p w:rsidR="00C20A6E" w:rsidRDefault="00B92A92">
      <w:pPr>
        <w:pStyle w:val="Listcumarcatori"/>
        <w:spacing w:after="80"/>
      </w:pPr>
      <w:r>
        <w:t>Art. 25 alin. (3) din Hotărârea Guvernului nr. 931/2021 privind procedura de desemnare, atribuțiile, modalitatea de organizare a activității și procedura de evaluare a performanțelor profesionale individuale ale consilierului de etică;</w:t>
      </w:r>
    </w:p>
    <w:p w:rsidR="00C20A6E" w:rsidRDefault="00B92A92">
      <w:pPr>
        <w:pStyle w:val="Listcumarcatori"/>
        <w:spacing w:after="80"/>
      </w:pPr>
      <w:r>
        <w:t>Ordinul Președintelui ANFP nr. 26/2022 pentru aprobarea Metodologiei de completare și transmitere a informațiilor privind implementarea principiilor aplicabile conduitei profesionale a funcționarilor publici;</w:t>
      </w:r>
    </w:p>
    <w:p w:rsidR="00C20A6E" w:rsidRDefault="00B92A92">
      <w:pPr>
        <w:pStyle w:val="Listcumarcatori"/>
        <w:spacing w:after="80"/>
      </w:pPr>
      <w:r>
        <w:t>Ordinul Ministerului Dezvoltării, Lucrărilor Publice și Administrației (MDLPA) nr. 1466/2022 pentru stabilirea formatului raportului anual cu privire la respectarea normelor de conduită de către personalul contractual.</w:t>
      </w:r>
    </w:p>
    <w:p w:rsidR="00C20A6E" w:rsidRDefault="00B92A92">
      <w:pPr>
        <w:spacing w:after="240"/>
      </w:pPr>
      <w:r>
        <w:t>Scopul prezentului raport este de a asigura implementarea, monitorizarea, transparentizarea și controlul respectării normelor deontologice și a standardelor de comportament în cadrul aparatului de specialitate al Primarului Comunei Lunca Cernii de Jos în cursul anului calendaristic 2025.</w:t>
      </w:r>
    </w:p>
    <w:p w:rsidR="00C20A6E" w:rsidRDefault="00B92A92">
      <w:pPr>
        <w:keepNext/>
        <w:spacing w:before="280" w:after="120"/>
      </w:pPr>
      <w:r>
        <w:rPr>
          <w:b/>
          <w:color w:val="1B365D"/>
          <w:sz w:val="24"/>
        </w:rPr>
        <w:t>II. DATE GENERALE PRIVIND ENTITATEA PUBLICĂ ȘI OPERAȚIONALIZAREA STRUCTURII</w:t>
      </w:r>
    </w:p>
    <w:p w:rsidR="00C20A6E" w:rsidRDefault="00B92A92">
      <w:pPr>
        <w:spacing w:after="120"/>
      </w:pPr>
      <w:r>
        <w:t>Prin Dispoziția Primarului Comunei Lunca Cernii de Jos nr. 80 din data de 12.08.2025, în conformitate cu rigorile legislative, doamna Artan Marinela, având funcția publică de Referent în cadrul Compartimentului Registru Agricol și Relații Publice, a fost numită în calitatea de Consilier de etică și persoană responsabilă cu monitorizarea respectării normelor de conduită pentru toți salariații (funcționari publici și personal contractual) din cadrul aparatului de specialitate.</w:t>
      </w:r>
    </w:p>
    <w:p w:rsidR="00C20A6E" w:rsidRDefault="00B92A92">
      <w:pPr>
        <w:spacing w:after="240"/>
      </w:pPr>
      <w:r>
        <w:t xml:space="preserve">La nivelul autorității publice locale, structura de personal din subordinea Primarului care a intrat sub monitorizarea consilierului de etică în anul 2025 include un număr total de 12 </w:t>
      </w:r>
      <w:r>
        <w:lastRenderedPageBreak/>
        <w:t>angajați, dintre care 4 funcționari publici și 8 angajați încadrați ca personal contractual (inclusiv deservenți și asistenți personali).</w:t>
      </w:r>
    </w:p>
    <w:p w:rsidR="00C20A6E" w:rsidRDefault="00B92A92">
      <w:pPr>
        <w:keepNext/>
        <w:spacing w:before="280" w:after="120"/>
      </w:pPr>
      <w:r>
        <w:rPr>
          <w:b/>
          <w:color w:val="1B365D"/>
          <w:sz w:val="24"/>
        </w:rPr>
        <w:t>III. ACTIVITATEA DE CONSILIERE ETICĂ</w:t>
      </w:r>
    </w:p>
    <w:p w:rsidR="00C20A6E" w:rsidRDefault="00B92A92">
      <w:pPr>
        <w:spacing w:after="120"/>
      </w:pPr>
      <w:r>
        <w:t>Activitatea de consiliere etică este definită ca o măsură cu caracter preventiv, desfășurată la solicitarea scrisă a angajatului sau din inițiativa consilierului de etică, având un rol strict confidențial, cu scopul de a sprijini adoptarea unei conduite conforme cu legea în exercitarea prerogativelor publice.</w:t>
      </w:r>
    </w:p>
    <w:p w:rsidR="00C20A6E" w:rsidRDefault="00B92A92">
      <w:pPr>
        <w:spacing w:after="120"/>
      </w:pPr>
      <w:r>
        <w:t>În perioada de raportare cuprinsă între data numirii oficiale (12.08.2025) și sfârșitul anului calendaristic (31.12.2025), la Compartimentul Consilierului de Etică nu au fost înregistrate solicitări scrise de consiliere din partea personalului și nici nu s-au identificat elemente temeinice pentru demararea unor sesiuni din inițiativă proprie.</w:t>
      </w:r>
    </w:p>
    <w:p w:rsidR="00C20A6E" w:rsidRDefault="00B92A92">
      <w:pPr>
        <w:spacing w:after="240"/>
      </w:pPr>
      <w:r>
        <w:t>În consecință, în Registrul de evidență a activității de consiliere etică (Anexa nr. 3 din H.G. nr. 931/2021) înființat și păstrat în condiții de maximă securitate de către consilierul desemnat, nu s-au operat înscrieri, valoarea indicatorilor fiind zero pentru anul 2025.</w:t>
      </w:r>
    </w:p>
    <w:p w:rsidR="00C20A6E" w:rsidRDefault="00B92A92">
      <w:pPr>
        <w:keepNext/>
        <w:spacing w:before="280" w:after="120"/>
      </w:pPr>
      <w:r>
        <w:rPr>
          <w:b/>
          <w:color w:val="1B365D"/>
          <w:sz w:val="24"/>
        </w:rPr>
        <w:t>IV. MONITORIZAREA RESPECTĂRII NORMELOR DE CONDUITĂ ȘI PROCEDURI DISCIPLINARE</w:t>
      </w:r>
    </w:p>
    <w:p w:rsidR="00C20A6E" w:rsidRDefault="00B92A92">
      <w:pPr>
        <w:spacing w:after="160"/>
      </w:pPr>
      <w:r>
        <w:t>Pe baza metodelor de observare directă, a colectării interne a datelor furnizate de Compartimentul Resurse Umane și a datelor de la nivelul conducerii instituției, se constată o aderență deplină a colectivului la principiile legalității, imparțialității, profesionalismului și eficienței administrative. Indicatorii de monitorizare se prezintă astfel:</w:t>
      </w:r>
    </w:p>
    <w:tbl>
      <w:tblPr>
        <w:tblW w:w="0" w:type="auto"/>
        <w:jc w:val="center"/>
        <w:tblBorders>
          <w:top w:val="single" w:sz="4" w:space="0" w:color="CCCCCC"/>
          <w:bottom w:val="single" w:sz="4" w:space="0" w:color="CCCCCC"/>
          <w:insideH w:val="single" w:sz="4" w:space="0" w:color="E5E5E5"/>
        </w:tblBorders>
        <w:tblLook w:val="04A0" w:firstRow="1" w:lastRow="0" w:firstColumn="1" w:lastColumn="0" w:noHBand="0" w:noVBand="1"/>
      </w:tblPr>
      <w:tblGrid>
        <w:gridCol w:w="864"/>
        <w:gridCol w:w="4896"/>
        <w:gridCol w:w="1728"/>
        <w:gridCol w:w="1728"/>
      </w:tblGrid>
      <w:tr w:rsidR="00C20A6E">
        <w:trPr>
          <w:jc w:val="center"/>
        </w:trPr>
        <w:tc>
          <w:tcPr>
            <w:tcW w:w="864" w:type="dxa"/>
            <w:shd w:val="clear" w:color="auto" w:fill="1B365D"/>
            <w:tcMar>
              <w:top w:w="120" w:type="dxa"/>
              <w:left w:w="150" w:type="dxa"/>
              <w:bottom w:w="120" w:type="dxa"/>
              <w:right w:w="150" w:type="dxa"/>
            </w:tcMar>
          </w:tcPr>
          <w:p w:rsidR="00C20A6E" w:rsidRDefault="00B92A92">
            <w:pPr>
              <w:jc w:val="center"/>
            </w:pPr>
            <w:r>
              <w:rPr>
                <w:b/>
                <w:color w:val="FFFFFF"/>
                <w:sz w:val="20"/>
              </w:rPr>
              <w:t>Nr. crt.</w:t>
            </w:r>
          </w:p>
        </w:tc>
        <w:tc>
          <w:tcPr>
            <w:tcW w:w="4896" w:type="dxa"/>
            <w:shd w:val="clear" w:color="auto" w:fill="1B365D"/>
            <w:tcMar>
              <w:top w:w="120" w:type="dxa"/>
              <w:left w:w="150" w:type="dxa"/>
              <w:bottom w:w="120" w:type="dxa"/>
              <w:right w:w="150" w:type="dxa"/>
            </w:tcMar>
          </w:tcPr>
          <w:p w:rsidR="00C20A6E" w:rsidRDefault="00B92A92">
            <w:r>
              <w:rPr>
                <w:b/>
                <w:color w:val="FFFFFF"/>
                <w:sz w:val="20"/>
              </w:rPr>
              <w:t>Indicator monitorizat (Anul 2025)</w:t>
            </w:r>
          </w:p>
        </w:tc>
        <w:tc>
          <w:tcPr>
            <w:tcW w:w="1728" w:type="dxa"/>
            <w:shd w:val="clear" w:color="auto" w:fill="1B365D"/>
            <w:tcMar>
              <w:top w:w="120" w:type="dxa"/>
              <w:left w:w="150" w:type="dxa"/>
              <w:bottom w:w="120" w:type="dxa"/>
              <w:right w:w="150" w:type="dxa"/>
            </w:tcMar>
          </w:tcPr>
          <w:p w:rsidR="00C20A6E" w:rsidRDefault="00B92A92">
            <w:pPr>
              <w:jc w:val="center"/>
            </w:pPr>
            <w:r>
              <w:rPr>
                <w:b/>
                <w:color w:val="FFFFFF"/>
                <w:sz w:val="20"/>
              </w:rPr>
              <w:t>Funcționari publici</w:t>
            </w:r>
          </w:p>
        </w:tc>
        <w:tc>
          <w:tcPr>
            <w:tcW w:w="1728" w:type="dxa"/>
            <w:shd w:val="clear" w:color="auto" w:fill="1B365D"/>
            <w:tcMar>
              <w:top w:w="120" w:type="dxa"/>
              <w:left w:w="150" w:type="dxa"/>
              <w:bottom w:w="120" w:type="dxa"/>
              <w:right w:w="150" w:type="dxa"/>
            </w:tcMar>
          </w:tcPr>
          <w:p w:rsidR="00C20A6E" w:rsidRDefault="00B92A92">
            <w:pPr>
              <w:jc w:val="center"/>
            </w:pPr>
            <w:r>
              <w:rPr>
                <w:b/>
                <w:color w:val="FFFFFF"/>
                <w:sz w:val="20"/>
              </w:rPr>
              <w:t>Personal contractual</w:t>
            </w:r>
          </w:p>
        </w:tc>
      </w:tr>
      <w:tr w:rsidR="00C20A6E">
        <w:trPr>
          <w:jc w:val="center"/>
        </w:trPr>
        <w:tc>
          <w:tcPr>
            <w:tcW w:w="864" w:type="dxa"/>
            <w:shd w:val="clear" w:color="auto" w:fill="FFFFFF"/>
            <w:tcMar>
              <w:top w:w="100" w:type="dxa"/>
              <w:left w:w="150" w:type="dxa"/>
              <w:bottom w:w="100" w:type="dxa"/>
              <w:right w:w="150" w:type="dxa"/>
            </w:tcMar>
          </w:tcPr>
          <w:p w:rsidR="00C20A6E" w:rsidRDefault="00B92A92">
            <w:pPr>
              <w:jc w:val="center"/>
            </w:pPr>
            <w:r>
              <w:rPr>
                <w:sz w:val="20"/>
              </w:rPr>
              <w:t>1</w:t>
            </w:r>
          </w:p>
        </w:tc>
        <w:tc>
          <w:tcPr>
            <w:tcW w:w="4896" w:type="dxa"/>
            <w:shd w:val="clear" w:color="auto" w:fill="FFFFFF"/>
            <w:tcMar>
              <w:top w:w="100" w:type="dxa"/>
              <w:left w:w="150" w:type="dxa"/>
              <w:bottom w:w="100" w:type="dxa"/>
              <w:right w:w="150" w:type="dxa"/>
            </w:tcMar>
          </w:tcPr>
          <w:p w:rsidR="00C20A6E" w:rsidRDefault="00B92A92">
            <w:r>
              <w:rPr>
                <w:sz w:val="20"/>
              </w:rPr>
              <w:t>Număr de sesizări înregistrate privind încălcarea normelor de conduită în relațiile cu publicul sau colegii</w:t>
            </w:r>
          </w:p>
        </w:tc>
        <w:tc>
          <w:tcPr>
            <w:tcW w:w="1728" w:type="dxa"/>
            <w:shd w:val="clear" w:color="auto" w:fill="FFFFFF"/>
            <w:tcMar>
              <w:top w:w="100" w:type="dxa"/>
              <w:left w:w="150" w:type="dxa"/>
              <w:bottom w:w="100" w:type="dxa"/>
              <w:right w:w="150" w:type="dxa"/>
            </w:tcMar>
          </w:tcPr>
          <w:p w:rsidR="00C20A6E" w:rsidRDefault="00B92A92">
            <w:pPr>
              <w:jc w:val="center"/>
            </w:pPr>
            <w:r>
              <w:rPr>
                <w:sz w:val="20"/>
              </w:rPr>
              <w:t>0</w:t>
            </w:r>
          </w:p>
        </w:tc>
        <w:tc>
          <w:tcPr>
            <w:tcW w:w="1728" w:type="dxa"/>
            <w:shd w:val="clear" w:color="auto" w:fill="FFFFFF"/>
            <w:tcMar>
              <w:top w:w="100" w:type="dxa"/>
              <w:left w:w="150" w:type="dxa"/>
              <w:bottom w:w="100" w:type="dxa"/>
              <w:right w:w="150" w:type="dxa"/>
            </w:tcMar>
          </w:tcPr>
          <w:p w:rsidR="00C20A6E" w:rsidRDefault="00B92A92">
            <w:pPr>
              <w:jc w:val="center"/>
            </w:pPr>
            <w:r>
              <w:rPr>
                <w:sz w:val="20"/>
              </w:rPr>
              <w:t>0</w:t>
            </w:r>
          </w:p>
        </w:tc>
      </w:tr>
      <w:tr w:rsidR="00C20A6E">
        <w:trPr>
          <w:jc w:val="center"/>
        </w:trPr>
        <w:tc>
          <w:tcPr>
            <w:tcW w:w="864" w:type="dxa"/>
            <w:shd w:val="clear" w:color="auto" w:fill="F7F9FB"/>
            <w:tcMar>
              <w:top w:w="100" w:type="dxa"/>
              <w:left w:w="150" w:type="dxa"/>
              <w:bottom w:w="100" w:type="dxa"/>
              <w:right w:w="150" w:type="dxa"/>
            </w:tcMar>
          </w:tcPr>
          <w:p w:rsidR="00C20A6E" w:rsidRDefault="00B92A92">
            <w:pPr>
              <w:jc w:val="center"/>
            </w:pPr>
            <w:r>
              <w:rPr>
                <w:sz w:val="20"/>
              </w:rPr>
              <w:t>2</w:t>
            </w:r>
          </w:p>
        </w:tc>
        <w:tc>
          <w:tcPr>
            <w:tcW w:w="4896" w:type="dxa"/>
            <w:shd w:val="clear" w:color="auto" w:fill="F7F9FB"/>
            <w:tcMar>
              <w:top w:w="100" w:type="dxa"/>
              <w:left w:w="150" w:type="dxa"/>
              <w:bottom w:w="100" w:type="dxa"/>
              <w:right w:w="150" w:type="dxa"/>
            </w:tcMar>
          </w:tcPr>
          <w:p w:rsidR="00C20A6E" w:rsidRDefault="00B92A92">
            <w:r>
              <w:rPr>
                <w:sz w:val="20"/>
              </w:rPr>
              <w:t>Număr de cauze aflate în analiză pe rolul Comisiei de disciplină a instituției</w:t>
            </w:r>
          </w:p>
        </w:tc>
        <w:tc>
          <w:tcPr>
            <w:tcW w:w="1728" w:type="dxa"/>
            <w:shd w:val="clear" w:color="auto" w:fill="F7F9FB"/>
            <w:tcMar>
              <w:top w:w="100" w:type="dxa"/>
              <w:left w:w="150" w:type="dxa"/>
              <w:bottom w:w="100" w:type="dxa"/>
              <w:right w:w="150" w:type="dxa"/>
            </w:tcMar>
          </w:tcPr>
          <w:p w:rsidR="00C20A6E" w:rsidRDefault="00B92A92">
            <w:pPr>
              <w:jc w:val="center"/>
            </w:pPr>
            <w:r>
              <w:rPr>
                <w:sz w:val="20"/>
              </w:rPr>
              <w:t>0</w:t>
            </w:r>
          </w:p>
        </w:tc>
        <w:tc>
          <w:tcPr>
            <w:tcW w:w="1728" w:type="dxa"/>
            <w:shd w:val="clear" w:color="auto" w:fill="F7F9FB"/>
            <w:tcMar>
              <w:top w:w="100" w:type="dxa"/>
              <w:left w:w="150" w:type="dxa"/>
              <w:bottom w:w="100" w:type="dxa"/>
              <w:right w:w="150" w:type="dxa"/>
            </w:tcMar>
          </w:tcPr>
          <w:p w:rsidR="00C20A6E" w:rsidRDefault="00B92A92">
            <w:pPr>
              <w:jc w:val="center"/>
            </w:pPr>
            <w:r>
              <w:rPr>
                <w:sz w:val="20"/>
              </w:rPr>
              <w:t>0</w:t>
            </w:r>
          </w:p>
        </w:tc>
      </w:tr>
      <w:tr w:rsidR="00C20A6E">
        <w:trPr>
          <w:jc w:val="center"/>
        </w:trPr>
        <w:tc>
          <w:tcPr>
            <w:tcW w:w="864" w:type="dxa"/>
            <w:shd w:val="clear" w:color="auto" w:fill="FFFFFF"/>
            <w:tcMar>
              <w:top w:w="100" w:type="dxa"/>
              <w:left w:w="150" w:type="dxa"/>
              <w:bottom w:w="100" w:type="dxa"/>
              <w:right w:w="150" w:type="dxa"/>
            </w:tcMar>
          </w:tcPr>
          <w:p w:rsidR="00C20A6E" w:rsidRDefault="00B92A92">
            <w:pPr>
              <w:jc w:val="center"/>
            </w:pPr>
            <w:r>
              <w:rPr>
                <w:sz w:val="20"/>
              </w:rPr>
              <w:t>3</w:t>
            </w:r>
          </w:p>
        </w:tc>
        <w:tc>
          <w:tcPr>
            <w:tcW w:w="4896" w:type="dxa"/>
            <w:shd w:val="clear" w:color="auto" w:fill="FFFFFF"/>
            <w:tcMar>
              <w:top w:w="100" w:type="dxa"/>
              <w:left w:w="150" w:type="dxa"/>
              <w:bottom w:w="100" w:type="dxa"/>
              <w:right w:w="150" w:type="dxa"/>
            </w:tcMar>
          </w:tcPr>
          <w:p w:rsidR="00C20A6E" w:rsidRDefault="00B92A92">
            <w:r>
              <w:rPr>
                <w:sz w:val="20"/>
              </w:rPr>
              <w:t>Număr de sancțiuni disciplinare aplicate pentru comportament neadecvat sau abateri etice</w:t>
            </w:r>
          </w:p>
        </w:tc>
        <w:tc>
          <w:tcPr>
            <w:tcW w:w="1728" w:type="dxa"/>
            <w:shd w:val="clear" w:color="auto" w:fill="FFFFFF"/>
            <w:tcMar>
              <w:top w:w="100" w:type="dxa"/>
              <w:left w:w="150" w:type="dxa"/>
              <w:bottom w:w="100" w:type="dxa"/>
              <w:right w:w="150" w:type="dxa"/>
            </w:tcMar>
          </w:tcPr>
          <w:p w:rsidR="00C20A6E" w:rsidRDefault="00B92A92">
            <w:pPr>
              <w:jc w:val="center"/>
            </w:pPr>
            <w:r>
              <w:rPr>
                <w:sz w:val="20"/>
              </w:rPr>
              <w:t>0</w:t>
            </w:r>
          </w:p>
        </w:tc>
        <w:tc>
          <w:tcPr>
            <w:tcW w:w="1728" w:type="dxa"/>
            <w:shd w:val="clear" w:color="auto" w:fill="FFFFFF"/>
            <w:tcMar>
              <w:top w:w="100" w:type="dxa"/>
              <w:left w:w="150" w:type="dxa"/>
              <w:bottom w:w="100" w:type="dxa"/>
              <w:right w:w="150" w:type="dxa"/>
            </w:tcMar>
          </w:tcPr>
          <w:p w:rsidR="00C20A6E" w:rsidRDefault="00B92A92">
            <w:pPr>
              <w:jc w:val="center"/>
            </w:pPr>
            <w:r>
              <w:rPr>
                <w:sz w:val="20"/>
              </w:rPr>
              <w:t>0</w:t>
            </w:r>
          </w:p>
        </w:tc>
      </w:tr>
      <w:tr w:rsidR="00C20A6E">
        <w:trPr>
          <w:jc w:val="center"/>
        </w:trPr>
        <w:tc>
          <w:tcPr>
            <w:tcW w:w="864" w:type="dxa"/>
            <w:shd w:val="clear" w:color="auto" w:fill="F7F9FB"/>
            <w:tcMar>
              <w:top w:w="100" w:type="dxa"/>
              <w:left w:w="150" w:type="dxa"/>
              <w:bottom w:w="100" w:type="dxa"/>
              <w:right w:w="150" w:type="dxa"/>
            </w:tcMar>
          </w:tcPr>
          <w:p w:rsidR="00C20A6E" w:rsidRDefault="00B92A92">
            <w:pPr>
              <w:jc w:val="center"/>
            </w:pPr>
            <w:r>
              <w:rPr>
                <w:sz w:val="20"/>
              </w:rPr>
              <w:t>4</w:t>
            </w:r>
          </w:p>
        </w:tc>
        <w:tc>
          <w:tcPr>
            <w:tcW w:w="4896" w:type="dxa"/>
            <w:shd w:val="clear" w:color="auto" w:fill="F7F9FB"/>
            <w:tcMar>
              <w:top w:w="100" w:type="dxa"/>
              <w:left w:w="150" w:type="dxa"/>
              <w:bottom w:w="100" w:type="dxa"/>
              <w:right w:w="150" w:type="dxa"/>
            </w:tcMar>
          </w:tcPr>
          <w:p w:rsidR="00C20A6E" w:rsidRDefault="00B92A92">
            <w:r>
              <w:rPr>
                <w:sz w:val="20"/>
              </w:rPr>
              <w:t>Număr de plângeri penale înaintate în baza art. 13 alin. (4) din H.G. nr. 931/2021</w:t>
            </w:r>
          </w:p>
        </w:tc>
        <w:tc>
          <w:tcPr>
            <w:tcW w:w="1728" w:type="dxa"/>
            <w:shd w:val="clear" w:color="auto" w:fill="F7F9FB"/>
            <w:tcMar>
              <w:top w:w="100" w:type="dxa"/>
              <w:left w:w="150" w:type="dxa"/>
              <w:bottom w:w="100" w:type="dxa"/>
              <w:right w:w="150" w:type="dxa"/>
            </w:tcMar>
          </w:tcPr>
          <w:p w:rsidR="00C20A6E" w:rsidRDefault="00B92A92">
            <w:pPr>
              <w:jc w:val="center"/>
            </w:pPr>
            <w:r>
              <w:rPr>
                <w:sz w:val="20"/>
              </w:rPr>
              <w:t>0</w:t>
            </w:r>
          </w:p>
        </w:tc>
        <w:tc>
          <w:tcPr>
            <w:tcW w:w="1728" w:type="dxa"/>
            <w:shd w:val="clear" w:color="auto" w:fill="F7F9FB"/>
            <w:tcMar>
              <w:top w:w="100" w:type="dxa"/>
              <w:left w:w="150" w:type="dxa"/>
              <w:bottom w:w="100" w:type="dxa"/>
              <w:right w:w="150" w:type="dxa"/>
            </w:tcMar>
          </w:tcPr>
          <w:p w:rsidR="00C20A6E" w:rsidRDefault="00B92A92">
            <w:pPr>
              <w:jc w:val="center"/>
            </w:pPr>
            <w:r>
              <w:rPr>
                <w:sz w:val="20"/>
              </w:rPr>
              <w:t>0</w:t>
            </w:r>
          </w:p>
        </w:tc>
      </w:tr>
    </w:tbl>
    <w:p w:rsidR="00C20A6E" w:rsidRDefault="00C20A6E">
      <w:pPr>
        <w:spacing w:before="160"/>
      </w:pPr>
    </w:p>
    <w:p w:rsidR="00C20A6E" w:rsidRDefault="00B92A92">
      <w:pPr>
        <w:spacing w:after="240"/>
      </w:pPr>
      <w:r>
        <w:t xml:space="preserve">Climatul organizațional din cadrul Primăriei Comunei Lunca Cernii de Jos a rămas stabil și integru în anul 2025. Toate interacțiunile salariaților cu cetățenii și beneficiarii serviciilor publice locale s-au desfășurat în limitele politeții, promptitudinii și tratamentului egal, </w:t>
      </w:r>
      <w:r>
        <w:lastRenderedPageBreak/>
        <w:t>neexistând petiții, reclamații sau memorii legate de acte de corupție, discriminare, abuz sau nerespectare a demnității umane.</w:t>
      </w:r>
    </w:p>
    <w:p w:rsidR="00C20A6E" w:rsidRDefault="00B92A92">
      <w:pPr>
        <w:keepNext/>
        <w:spacing w:before="280" w:after="120"/>
      </w:pPr>
      <w:r>
        <w:rPr>
          <w:b/>
          <w:color w:val="1B365D"/>
          <w:sz w:val="24"/>
        </w:rPr>
        <w:t>V. CONCLUZII ȘI DIRECȚII DE ACȚIUNE PENTRU PERIOADA URMĂTOARE</w:t>
      </w:r>
    </w:p>
    <w:p w:rsidR="00C20A6E" w:rsidRDefault="00B92A92">
      <w:pPr>
        <w:spacing w:after="120"/>
      </w:pPr>
      <w:r>
        <w:t>Deși perioada scursă de la operaționalizarea funcției de consilier de etică prin Dispoziția nr. 80/2025 și până la sfârșitul anului nu a generat incidente sau spețe care să impună măsuri corective, structura își menține întreaga capacitate de răspuns preventiv.</w:t>
      </w:r>
    </w:p>
    <w:p w:rsidR="00C20A6E" w:rsidRDefault="00B92A92">
      <w:r>
        <w:t>Pentru anul de activitate viitor, compartimentul își stabilește următoarele priorități strategice:</w:t>
      </w:r>
    </w:p>
    <w:p w:rsidR="00C20A6E" w:rsidRDefault="00C20A6E">
      <w:pPr>
        <w:spacing w:after="80"/>
      </w:pPr>
    </w:p>
    <w:p w:rsidR="00C20A6E" w:rsidRDefault="00B92A92">
      <w:pPr>
        <w:pStyle w:val="Listcumarcatori"/>
        <w:spacing w:after="80"/>
      </w:pPr>
      <w:proofErr w:type="spellStart"/>
      <w:r>
        <w:t>Monitorizarea</w:t>
      </w:r>
      <w:proofErr w:type="spellEnd"/>
      <w:r>
        <w:t xml:space="preserve"> </w:t>
      </w:r>
      <w:proofErr w:type="spellStart"/>
      <w:r>
        <w:t>proactivă</w:t>
      </w:r>
      <w:proofErr w:type="spellEnd"/>
      <w:r>
        <w:t xml:space="preserve"> a </w:t>
      </w:r>
      <w:proofErr w:type="spellStart"/>
      <w:r>
        <w:t>riscurilor</w:t>
      </w:r>
      <w:proofErr w:type="spellEnd"/>
      <w:r>
        <w:t xml:space="preserve"> de etică ce pot apărea în procesul de implementare a proiectelor de investiții locale sau în activitatea de relații directe cu publicul;</w:t>
      </w:r>
    </w:p>
    <w:p w:rsidR="00C20A6E" w:rsidRDefault="00B92A92">
      <w:pPr>
        <w:pStyle w:val="Listcumarcatori"/>
        <w:spacing w:after="80"/>
      </w:pPr>
      <w:r>
        <w:t>Menținerea unei colaborări strânse cu Compartimentul Resurse Umane pentru asigurarea introducerii indicatorilor specifici de etică în fișele posturilor nou înființate.</w:t>
      </w:r>
    </w:p>
    <w:p w:rsidR="00C20A6E" w:rsidRDefault="00B92A92" w:rsidP="0028133C">
      <w:pPr>
        <w:spacing w:before="160" w:after="720"/>
        <w:jc w:val="both"/>
      </w:pPr>
      <w:r>
        <w:t xml:space="preserve">Prezentul raport </w:t>
      </w:r>
      <w:proofErr w:type="gramStart"/>
      <w:r>
        <w:t>va</w:t>
      </w:r>
      <w:proofErr w:type="gramEnd"/>
      <w:r>
        <w:t xml:space="preserve"> fi înaintat spre analiză Primarului comunei Lunca </w:t>
      </w:r>
      <w:proofErr w:type="spellStart"/>
      <w:r>
        <w:t>Cernii</w:t>
      </w:r>
      <w:proofErr w:type="spellEnd"/>
      <w:r>
        <w:t xml:space="preserve"> de Jos, </w:t>
      </w:r>
      <w:proofErr w:type="spellStart"/>
      <w:r>
        <w:t>va</w:t>
      </w:r>
      <w:proofErr w:type="spellEnd"/>
      <w:r>
        <w:t xml:space="preserve"> fi </w:t>
      </w:r>
      <w:proofErr w:type="spellStart"/>
      <w:r>
        <w:t>publicat</w:t>
      </w:r>
      <w:proofErr w:type="spellEnd"/>
      <w:r>
        <w:t xml:space="preserve">, </w:t>
      </w:r>
      <w:proofErr w:type="spellStart"/>
      <w:r>
        <w:t>în</w:t>
      </w:r>
      <w:proofErr w:type="spellEnd"/>
      <w:r>
        <w:t xml:space="preserve"> </w:t>
      </w:r>
      <w:proofErr w:type="spellStart"/>
      <w:r>
        <w:t>condițiile</w:t>
      </w:r>
      <w:proofErr w:type="spellEnd"/>
      <w:r>
        <w:t xml:space="preserve"> </w:t>
      </w:r>
      <w:proofErr w:type="spellStart"/>
      <w:r>
        <w:t>legii</w:t>
      </w:r>
      <w:proofErr w:type="spellEnd"/>
      <w:r>
        <w:t xml:space="preserve">, </w:t>
      </w:r>
      <w:proofErr w:type="spellStart"/>
      <w:r>
        <w:t>pe</w:t>
      </w:r>
      <w:proofErr w:type="spellEnd"/>
      <w:r>
        <w:t xml:space="preserve"> </w:t>
      </w:r>
      <w:proofErr w:type="spellStart"/>
      <w:r>
        <w:t>pagina</w:t>
      </w:r>
      <w:proofErr w:type="spellEnd"/>
      <w:r>
        <w:t xml:space="preserve"> oficială de internet a instituției.</w:t>
      </w:r>
    </w:p>
    <w:p w:rsidR="00C20A6E" w:rsidRDefault="00B92A92" w:rsidP="0028133C">
      <w:pPr>
        <w:keepNext/>
      </w:pPr>
      <w:r>
        <w:rPr>
          <w:b/>
        </w:rPr>
        <w:t>ÎNTOCMIT,</w:t>
      </w:r>
      <w:r>
        <w:rPr>
          <w:b/>
        </w:rPr>
        <w:br/>
        <w:t>Consilier de Etică</w:t>
      </w:r>
      <w:r>
        <w:rPr>
          <w:b/>
        </w:rPr>
        <w:br/>
      </w:r>
      <w:r>
        <w:t>Artan Marinela</w:t>
      </w:r>
      <w:r>
        <w:br/>
        <w:t>Referent în cadrul Compartimentului Registru Agricol și Relații Publice</w:t>
      </w:r>
      <w:r>
        <w:br/>
      </w:r>
      <w:r>
        <w:br/>
        <w:t>Semnătura: _______________________</w:t>
      </w:r>
    </w:p>
    <w:sectPr w:rsidR="00C20A6E" w:rsidSect="00D10C6E">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856" w:rsidRDefault="00370856" w:rsidP="0028133C">
      <w:pPr>
        <w:spacing w:after="0" w:line="240" w:lineRule="auto"/>
      </w:pPr>
      <w:r>
        <w:separator/>
      </w:r>
    </w:p>
  </w:endnote>
  <w:endnote w:type="continuationSeparator" w:id="0">
    <w:p w:rsidR="00370856" w:rsidRDefault="00370856" w:rsidP="0028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856" w:rsidRDefault="00370856" w:rsidP="0028133C">
      <w:pPr>
        <w:spacing w:after="0" w:line="240" w:lineRule="auto"/>
      </w:pPr>
      <w:r>
        <w:separator/>
      </w:r>
    </w:p>
  </w:footnote>
  <w:footnote w:type="continuationSeparator" w:id="0">
    <w:p w:rsidR="00370856" w:rsidRDefault="00370856" w:rsidP="00281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8133C"/>
    <w:rsid w:val="0029639D"/>
    <w:rsid w:val="00326F90"/>
    <w:rsid w:val="00370856"/>
    <w:rsid w:val="00AA1D8D"/>
    <w:rsid w:val="00B47730"/>
    <w:rsid w:val="00B92A92"/>
    <w:rsid w:val="00C20A6E"/>
    <w:rsid w:val="00CB0664"/>
    <w:rsid w:val="00D10C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33333"/>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GrilTabe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333333"/>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GrilTabe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8B8E-D697-4613-AF49-6412FFCE9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847</Words>
  <Characters>4919</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nyco_style@yahoo.com</cp:lastModifiedBy>
  <cp:revision>3</cp:revision>
  <cp:lastPrinted>2026-09-01T06:28:00Z</cp:lastPrinted>
  <dcterms:created xsi:type="dcterms:W3CDTF">2013-12-23T23:15:00Z</dcterms:created>
  <dcterms:modified xsi:type="dcterms:W3CDTF">2026-09-01T06:28:00Z</dcterms:modified>
  <cp:category/>
</cp:coreProperties>
</file>